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F60AC" w14:textId="77777777" w:rsidR="007D36DA" w:rsidRDefault="007D36DA" w:rsidP="007D36DA">
      <w:pPr>
        <w:pStyle w:val="NormalWeb"/>
        <w:rPr>
          <w:sz w:val="20"/>
          <w:szCs w:val="20"/>
        </w:rPr>
      </w:pPr>
    </w:p>
    <w:p w14:paraId="60FC9633" w14:textId="77777777" w:rsidR="007D36DA" w:rsidRDefault="007D36DA" w:rsidP="007D36DA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16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551B1C0F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C105D1E" w14:textId="77777777" w:rsidR="007D36DA" w:rsidRDefault="007D36DA" w:rsidP="007D36DA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6AD1106D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1701F34" w14:textId="77777777" w:rsidR="007D36DA" w:rsidRDefault="007D36DA" w:rsidP="007D36DA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 xml:space="preserve">ԳԱԶԱԼՑԱՎՈՐՄԱՆ (ԱՅԴ ԹՎՈՒՄ` ՀԱՄԱՏԵՂՎԱԾ) ԿԱՅԱՆՆԵՐԻ ՀԱՄԱՐ </w:t>
      </w:r>
    </w:p>
    <w:p w14:paraId="756A069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7D36DA" w14:paraId="1156F15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C0D65" w14:textId="77777777" w:rsidR="007D36DA" w:rsidRDefault="007D36DA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EAD89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8437A1" w14:textId="77777777" w:rsidR="007D36DA" w:rsidRDefault="007D36DA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7D36DA" w14:paraId="1A3ACDC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76100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7F52439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11F90B7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7D36DA" w14:paraId="32D4BC9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5C99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C43DF2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7D36DA" w14:paraId="177FF91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53325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0BEEC6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7D36DA" w14:paraId="26E4250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84DB9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E9656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7D36DA" w14:paraId="6BC192A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6DDDC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E2F44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7D36DA" w14:paraId="212657D6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C248C4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D36DA" w14:paraId="60647990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70470B3" w14:textId="77777777" w:rsidR="007D36DA" w:rsidRDefault="007D36DA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7D36DA" w14:paraId="537221F7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7D36DA" w14:paraId="02AE5527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9870CB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BC94E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6799A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03A843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B0FB3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60C15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A7B77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F4532" w14:textId="77777777" w:rsidR="007D36DA" w:rsidRDefault="007D36DA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5055F4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261EA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7D36DA" w14:paraId="0D06AEDE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8DD6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487A0B0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7D36DA" w14:paraId="7EDBB7C0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6F368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498B44D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7D36DA" w14:paraId="05061027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E2538E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7D36DA" w14:paraId="0FDC9AAC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4A66E2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</w:t>
            </w:r>
          </w:p>
        </w:tc>
      </w:tr>
    </w:tbl>
    <w:p w14:paraId="1D267D6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8A64FE7" w14:textId="77777777" w:rsidR="007D36DA" w:rsidRDefault="007D36DA" w:rsidP="007D36DA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ԳԱԶԱԼՑԱՎՈՐՄԱՆ ԿԱՅԱՆՆԵՐԻ ՀԱՄԱՐ</w:t>
      </w:r>
    </w:p>
    <w:p w14:paraId="4F544F8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2634"/>
        <w:gridCol w:w="458"/>
        <w:gridCol w:w="351"/>
        <w:gridCol w:w="515"/>
        <w:gridCol w:w="828"/>
        <w:gridCol w:w="1316"/>
        <w:gridCol w:w="810"/>
        <w:gridCol w:w="845"/>
      </w:tblGrid>
      <w:tr w:rsidR="007D36DA" w14:paraId="067F70B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86A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718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D74F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575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358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5CAE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Կշիռ 10 բալանի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համա-</w:t>
            </w:r>
            <w:r>
              <w:rPr>
                <w:rFonts w:eastAsia="Times New Roman"/>
                <w:sz w:val="20"/>
                <w:szCs w:val="20"/>
              </w:rPr>
              <w:br/>
              <w:t>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86C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EE8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Ստուգ-</w:t>
            </w:r>
            <w:r>
              <w:rPr>
                <w:rFonts w:eastAsia="Times New Roman"/>
                <w:sz w:val="20"/>
                <w:szCs w:val="20"/>
              </w:rPr>
              <w:br/>
              <w:t>ման մեթոդը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7D5B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7D36DA" w14:paraId="4B3EB13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2146A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5350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7D36DA" w14:paraId="7198D35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468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7986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Գազալցակայանի տարածքի տեսանելի վայրերում փակցված է ծխելը արգելող ցուցանակներ: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F9E6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DE66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0F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B59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F51F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գլուխ 22, կետ 682»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8CD0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1F0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68E5B91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7AD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16A4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Ռեզերվուարը ունի չհրկիզվող նյութերից պատրաստած ցանկապատ: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73B8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2743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05B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B1BC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55FC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գլուխ 19, կետ 506»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8683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5A8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37845F6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BDBA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6D6D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Գազալցակայանի տարածքն ապահովված է պահպանական/պահակային լուսավորությամբ: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8D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F7B2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00C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AC7A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1BC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գլուխ 19, կետ 508»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6D2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6374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2232BD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D223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5DD4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Ավտոգազալցավորման ճնշակայանից (ԱԳԼՃԿ, ճնշակ, կուտակիչ, լցարկիչ) մինչև իրեն չպատկանող շինությունները նորմերով պահանջվող նվազագույն միջտարածությունները պահպանված են: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817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01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0FC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9C0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C635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«9», գլուխ 4, կետ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D164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2EF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7D36DA" w14:paraId="0327E43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512E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B6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ԱԳԼՃԿ-ի տարածքում իրեն պատկանող շինությունների և սարքավորումների միջև նորմերով պահանջվող նվազագույն միջտարածությունները պահպանված են: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C97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04B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CDD0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94B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EA2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«9», գլուխ 4, կետ 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EC86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C18F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7D36DA" w14:paraId="798F230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A523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F21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Համատեղված (սեղմված բնական գազ, ՀԱԳ, բենզին և դիզելային վառելանյութ) ավտոլցակայանի տարածքում իրեն պատկանող շինությունների և սարքավորումների միջև նորմերով պահանջվող նվազագույն միջտարածությունները պահպանված են: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E1E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1F5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AD2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2E67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396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«9», գլուխ, 4 կետ 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6D38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E855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7D36DA" w14:paraId="43A0CFC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2F5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6F6A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Գազալցակայանի տարածքով օդային էլեկտրահաղորդակցման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BE9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26A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FFE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5367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6C03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9.4.25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705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B79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019CD68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EDAA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2E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Գազալցակայանի տարածքը պաշտպանված է շանթապաշտպանության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0C9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4268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6B8C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B527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713C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E280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A9F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22CE00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CD4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89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Գազի վթարային արտանետման խողովակաշարի նվազագույն բարձրությունը իր տեղակայման հարթակից պակաս չէ 3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647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79BB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AD8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4D8C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53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EC8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99CB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13DFA8F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A7EE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078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Հեղուկացված ածխաջրածնային գազով (ՀԱԳ) լցակայանից մինչև գազալցակայանին չպատկանող շենքերն ու շինությունները նորմերով պահանջվող նվազագույն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210E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E2FC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B27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5CC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06CA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9.2.1 աղյուսակներ 7 և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102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2E3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7D36DA" w14:paraId="38C402E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A8B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12F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ՀԱԳ լցակայանի տարածքում իրեն պատկանող շինությունների միջև նորմերով պահանջվող նվազագույն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9B1C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6977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2DC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145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5A5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9.2.1 աղյուսակ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3042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2CEC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7D36DA" w14:paraId="00695A7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165B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DD9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ճանապարհներին մարդկանց ազատ տարահանմանը խոչընդոտող հարմարանքներ չկան: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DE2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365D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68A8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10F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CF3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31A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576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31F1652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7D9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362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Օբյեկտի ղեկավարի կողմից ընդունված իրավական ակտով սահմանված է ծխելու վայրը: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AF3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4AA2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533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612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54B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2, կետ 9,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5BA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A029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200D81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C2089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2CF917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7D36DA" w14:paraId="0BC3E83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A960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B42B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Պայթյունավտանգ գոտիներով սենքերում (գազի վտանգավոր խտության պարագայում) էլեկտրամատակարարման սխեման իրականացված է այնպես, որ տեխնոլոգիական սարքավորումները ավտոմատ անջատվեն: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75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CF96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4B2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3C88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4B2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9.4.23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F801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1CE4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23583B5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5F1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C0E4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BAFD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08A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9D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0455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1823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16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41D6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4ADFF38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9C41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54C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Պայթյունավտանգ գոտիներում տեղադրված էլեկտրասարքավորումները պայթյունաանվտագն կատարմամբ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3EE8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22B6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B68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F799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95FB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8D31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896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VI*</w:t>
            </w:r>
          </w:p>
        </w:tc>
      </w:tr>
      <w:tr w:rsidR="007D36DA" w14:paraId="27787D2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EBFF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811F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Բոլոր շինությունների էլեկտրական սարքավորումները համալրված են հողանցման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7293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625E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352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A283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66FA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17,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6E63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A7F7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454E08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00B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20E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Հեղուկացված գազերով կայանքները սնող տրանսֆորմատորային ենթակայանները կառուցված են առանձին կանգնած: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703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E05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18AA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BD0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A50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308E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80B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6AA089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9B91B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430FEC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7D36DA" w14:paraId="7935000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072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765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 ջեռուցումը իրականացվում է միայն` ջրային, շոգե (ցածր ճնշման) կամ օդային ջեռուցման համակարգի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FE3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1614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731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2AC3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4EEC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2DD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699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1610395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E215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1237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Պայթյունավտանգ շինություններում ջեռուցման էլեկտրական կամ գազի սարքեր չեն օգտագործվում: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ACD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0CBA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CA9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465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D87F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4E02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7E31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0502F2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53AE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106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Պայթյունավտանգ սենքերը սարքավորված են ներահոս-արտահոս օդափոխությամբ: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2B5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7D6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89C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6BC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ABA1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B7F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73E0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4891BF0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A0FD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D99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Օդափոխության համակարգերում կիրառված են պայթյունաանվտանգ կատարմամբ օդափոխիչներ և էլեկտրաշարժիչներ: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2DF6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19BF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9C80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C425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A0A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13F3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21A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6509E35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830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82D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Արտածման համակարգերից օդի արտանետումը կատարվում է շենքից վեր` ոչ պակաս քան 2 մետր բարձրության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9AB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267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7987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D7C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309A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C22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44F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734259D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9F2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5C6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Ներածման համակարգերի համար օդի առումը իրականացվում է ավելի բարձր տեղից քան արտածվող օդի արտանետման տեղը: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A3B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D4E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DCD4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9067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8FB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130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4B7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67ED52D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C666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DE7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Բոլոր օդատարները պատրաստված են չայրվող նյութերից: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A12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01F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C790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BF2C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CE7E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34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D3C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4CF4E4F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F91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F450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Պայթյունավտանգ կարգի շինություններում տեղադրված են գազի վտանգավոր կոնցենտրացիայի ազդանշանման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2A7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7DF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1D7D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2C5F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0D7E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70CC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6C6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3DFBE8C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17B4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323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Օդափոխության համակարգի աշխատանքը բլոկավորված է տեխնոլոգիական սարքավորման հետ այնպես, որ բացառվի սարքավորման աշխատանքը անջատված օդափոխության դեպքում: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8442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C254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FC23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B214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9F4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10.7.27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1316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190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876D7F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DAA4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94D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Պայթյունավտանգ կարգի սենքերի բնական օդափոխման ապահովման համար տեղադրված են դեֆլեկտորներ: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7D6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A8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D61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60B1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4704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46E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410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687529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403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88D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Չտաքացվող սենքերում բնական օդափոխությունն իրականացվում է արտաքին պատերի ներքևի մասերում տեղակայված շերտափեղկային ցանցերի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F67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A73A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36C2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5E5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898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9.4.17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68D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250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30FC93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1B2CC5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55787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7D36DA" w14:paraId="591CB7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121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1BF4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հրդեհաշիջումն ապահովված է տարողություններից 40 մ-ից ոչ պակաս հեռավորության վրա գտնվող ոչ պակաս 2 հրշեջ հիդրանտների կամ ոչ պակաս 100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49B8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E75F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1216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887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20B3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«7», կետ 378»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5B3A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B04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2A84745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728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6BB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աղբյուրներին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396E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224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121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74B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B7C2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7E4C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67A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21C77EC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6EFF5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45D9F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7D36DA" w14:paraId="77E310B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8161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B90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Գազալցակայանի տարածքում տեղակայված շինությունները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F4C7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641A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1B99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0E4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1AE2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1EBA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A19F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VII*</w:t>
            </w:r>
          </w:p>
        </w:tc>
      </w:tr>
      <w:tr w:rsidR="007D36DA" w14:paraId="30B1661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428B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13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9F9F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748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ACEA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5F67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165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AD2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364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320B3F5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8A2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EAF1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F022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2905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87BA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716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4D9F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504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42C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7CCEA4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8A434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43BDA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7D36DA" w14:paraId="4E3A32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F1DB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3A47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9186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B44C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B243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579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9D8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6EC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870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VIII*</w:t>
            </w:r>
          </w:p>
        </w:tc>
      </w:tr>
      <w:tr w:rsidR="007D36DA" w14:paraId="65B002C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D372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8CD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CEE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66A5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AC5A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D721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F58D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0F51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84C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5BF027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67999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D7CBF2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7D36DA" w14:paraId="25FC727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E05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854F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0073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4BA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1A5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5EF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1FDC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B9E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456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020C991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03F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23C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453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F4A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C723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5BA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B3F4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84BA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C42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023D577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597AD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CA7D7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Գազալցավորման գործընթաց </w:t>
            </w:r>
          </w:p>
        </w:tc>
      </w:tr>
      <w:tr w:rsidR="007D36DA" w14:paraId="40E18CA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34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410E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Գազաբալոնների լցավորումն իրականացվում է էլեկտրոնային շտեմարանի տվյալների հետ նույնականացվելուց և նույնականացումից հետո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դրական եզրակացություն ստանալուց հետո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96B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7B5B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270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AB5D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F326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հոդված 26.1, մաս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7AD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DCF9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7DDB05F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1"/>
        <w:gridCol w:w="3891"/>
      </w:tblGrid>
      <w:tr w:rsidR="007D36DA" w14:paraId="39A2B95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3EDD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</w:t>
            </w:r>
          </w:p>
        </w:tc>
        <w:tc>
          <w:tcPr>
            <w:tcW w:w="0" w:type="auto"/>
            <w:vAlign w:val="center"/>
            <w:hideMark/>
          </w:tcPr>
          <w:p w14:paraId="3D8886A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7D36DA" w14:paraId="6158C81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AE18E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F046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2-ակնադիտական ստուգում</w:t>
            </w:r>
          </w:p>
        </w:tc>
      </w:tr>
    </w:tbl>
    <w:p w14:paraId="26022BE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7D36DA" w14:paraId="6F8003A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AD9D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3EB4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65C1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88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DFA1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9B3B8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9A39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BE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FAC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9430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DDC2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D36DA" w14:paraId="5427CC8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972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DC2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889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18F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A2E1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15DD2CA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0700E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64BB3A0B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7DAEAFCE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IV-12.03.01-04 «Գազաբաշխիչ համակարգեր»</w:t>
      </w:r>
    </w:p>
    <w:p w14:paraId="319B5CAF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«Տեխնիկական անվտանգության ապահովման պետական կարգավորման մասին» ՀՀ օրենք ընդունված է 2005 թվականի հոկտեմբերի 24-ին</w:t>
      </w:r>
    </w:p>
    <w:p w14:paraId="303F805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«4» – ՀՀ կառավարության 2023 թ. ապրիլի 13-ի N 539-Ն որոշում «Գազաբաշխման համակարգի անվտանգության և շահագործման կանոնները հաստատելու մասին» </w:t>
      </w:r>
    </w:p>
    <w:p w14:paraId="0F2A55A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6623CFC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ՇՆՁ IV-12.101-04 «Գազաբաշխման համակարգերի նախագծում և շինարարություն»</w:t>
      </w:r>
    </w:p>
    <w:p w14:paraId="06E74B1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«7» - ՀՀՇՆ 30- 01-2023 «Քաղաքաշինություն. Քաղաքային և գյուղական բնակավայրերի հատակագծում և կառուցապատում» </w:t>
      </w:r>
    </w:p>
    <w:p w14:paraId="723912A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«Ավտոմոբիլային տրանսպորտի մասին» ՀՀ օրենք, ընդունված է 2006 թվականի դեկտեմբերի 5-ին</w:t>
      </w:r>
    </w:p>
    <w:p w14:paraId="128DE50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«9»- ՀՀ կառավարության 2022 թ. հուլիսի 21-ի N1131-Ն որոշում «Ավտոգազալցակայանների կառուցման և շահագործման տեխնիկական անվտանգության կանոնները»</w:t>
      </w:r>
    </w:p>
    <w:p w14:paraId="68979B9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«10» - ՀՀՇՆ 32-01-2022 «Ավտոմոբիլային ճանապարհներ»</w:t>
      </w:r>
    </w:p>
    <w:p w14:paraId="1B3931E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C3CEF71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I*- Ավտոգազալցավորման ճնշակայանից (ԱԳԼՃԿ, ճնշակ, կուտակիչ, լցարկիչ) մինչև իրեն չպատկանող շինությունները նվազագույն միջտարածությունները ոչ պակաս` </w:t>
      </w:r>
    </w:p>
    <w:p w14:paraId="48BAB18B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բնակելի և հասարակական շենքեր` 50 մ.</w:t>
      </w:r>
    </w:p>
    <w:p w14:paraId="3D3A062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մշակութային կազմակերպություններ, մանկական և բուժհիմնարկներ, ուսումնական հաստատություններ` 75 մ.</w:t>
      </w:r>
    </w:p>
    <w:p w14:paraId="7609D14A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արտադրական շենքեր` 50 մ, նշված հեռավորությունը կարող է նվազեցվել մինչև 30 մ` պայմանով, որ պաշտպանվող օբյեկտն ավտոգազալցակայանի ուղղությամբ ունենա հակահրդեհային խուլ պատ կամ կառուցված պատնեշներ, որոնք կբացառեն գազի շիթի և բեկորների արտանետումը հորիզոնական ուղղությամբ դեպի պաշտպանվող օբյեկտ.</w:t>
      </w:r>
    </w:p>
    <w:p w14:paraId="71AEF1A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հրդեհապայթյունավտանգ, քիմիական և ռադիոակտիվ վտանգավոր նյութեր պարունակող շենքեր և տեխնոլոգիական սարքավորումներ` 75 մ.</w:t>
      </w:r>
    </w:p>
    <w:p w14:paraId="5F79718D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ընդհանուր ցանցի երկաթուղիներ (լիրքի ստորոտից)` 50 մ.</w:t>
      </w:r>
    </w:p>
    <w:p w14:paraId="51061EFD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մերձատար երկաթուղիներ` 30 մ.</w:t>
      </w:r>
    </w:p>
    <w:p w14:paraId="72DFB7E8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ավտոմոբիլային ճանապարհների երթևեկելի մասից հաշված ապահովել ՀՀՇՆ 32-01-2022 «Ավտոմոբիլային ճանապարհներ» շինարարական նորմերի 72-րդ կետով սահմանված պահանջները.</w:t>
      </w:r>
    </w:p>
    <w:p w14:paraId="0B9F43F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8) ավտոգազալցակայանից մինչև այն վայրերը, որտեղ միաժամանակ կարող են գտնվել 800 մարդուց ավելի (մարզադաշտերը, շուկաներ, զբոսայգիներ և այլն)` սույն կետի 1-ին և 2-րդ ենթակետերում նշված հեռավորությունները պետք է լինեն առնվազն 2 անգամ ավելի: </w:t>
      </w:r>
    </w:p>
    <w:p w14:paraId="77FFC208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9C3A28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ԱԳԼՃԿ-ի տարածքում իրեն պատկանող շինությունների և սարքավորումների միջև նվազագույն միջտարածությունները ոչ պակաս`</w:t>
      </w:r>
    </w:p>
    <w:p w14:paraId="513F8F3A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գազի կուտակիչներից մինչև`</w:t>
      </w:r>
    </w:p>
    <w:p w14:paraId="0E66910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ա. ճնշակայանք` ճնշակայանքի բարձրությունից առնվազն 1,5 մ և ավելի, </w:t>
      </w:r>
    </w:p>
    <w:p w14:paraId="0FD62457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բ. լցավորման բաշխիչ աշտարակներ` 15 մ,</w:t>
      </w:r>
    </w:p>
    <w:p w14:paraId="253CE7F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գ. ավտոտեխսպասարկման շենքեր, ավտոլվացման կետեր, կաթսայատուն, պահեստներ` 30 մ,</w:t>
      </w:r>
    </w:p>
    <w:p w14:paraId="2C9A9CD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դ. տարածքի ցանկապատ` 5 մ,</w:t>
      </w:r>
    </w:p>
    <w:p w14:paraId="42806004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ե. էլեկտրական էներգիայի հաղորդաբաշխման էլեկտրական հոսանքի օդային գծեր` օդային գծերի հենասյան բարձրության մեկուկեսապատիկից ոչ պակաս կամ տեղադրվեն օդային գծերի պաշտպանական գոտիների սահմաններից դուրս. </w:t>
      </w:r>
    </w:p>
    <w:p w14:paraId="51F046DA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2) ճնշակայանքից մինչև` </w:t>
      </w:r>
    </w:p>
    <w:p w14:paraId="09DB0B64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ա. լցավորման բաշխիչ աշտարակներ` 6 մ,</w:t>
      </w:r>
    </w:p>
    <w:p w14:paraId="3350A7E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բ. ավտոտեխսպասարկման շենքեր, ավտոլվացման կետեր, կաթսայատուն, պահեստներ` 25 մ.</w:t>
      </w:r>
    </w:p>
    <w:p w14:paraId="38467268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լցավորման բաշխիչ աշտարակներից մինչև` ավտոտեխսպասարկման շենքեր, ավտոլվացման կետեր, կաթսայատուն, պահեստներ` 20 մ.</w:t>
      </w:r>
    </w:p>
    <w:p w14:paraId="019FD4AE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4) սպասասրահից, սննդի կետից և սանիտարական հանգույցից մինչև` </w:t>
      </w:r>
    </w:p>
    <w:p w14:paraId="6BAEC2F7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ա. լցավորման բաշխիչ աշտարակներ` 20 մ, </w:t>
      </w:r>
    </w:p>
    <w:p w14:paraId="2A7A80EF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բ. ճնշակայանք` 25 մ,</w:t>
      </w:r>
    </w:p>
    <w:p w14:paraId="38B111F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գ. գազի կուտակիչներ` 35 մ.</w:t>
      </w:r>
    </w:p>
    <w:p w14:paraId="7C09F81B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օպերատորական շինությունից մինչև գազալցակայանին պատկանող շինություններ և տեխնոլոգիական սարքավորումներ` 9 մ.</w:t>
      </w:r>
    </w:p>
    <w:p w14:paraId="25800E6F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գազի կուտակիչները պետք է տեղադրել ստորգետնյա.</w:t>
      </w:r>
    </w:p>
    <w:p w14:paraId="3CB67E1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լցավորման կղզյակները պետք է իրարից բաժանել պաշտպանական էկրանով` բետոնե պատով.</w:t>
      </w:r>
    </w:p>
    <w:p w14:paraId="400FC997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8) լցավորման մեկ կղզյակում միաժամանակ պետք է լցավորել ոչ ավելի, քան մեկ ավտոմեքենա: </w:t>
      </w:r>
    </w:p>
    <w:p w14:paraId="38B57727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4A8F01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 Համատեղված (սեղմված բնական գազ, ՀԱԳ, բենզին և դիզելային վառելանյութ) ավտոլցակայանի տարածքում իրեն պատկանող շինությունների և սարքավորումների միջև նվազագույն միջտարածությունները ոչ պակաս`</w:t>
      </w:r>
    </w:p>
    <w:p w14:paraId="000F121A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օպերատորական շինությունից մինչև գազալցակայանին պատկանող շինություններ և տեխնոլոգիական սարքավորումներ` 9 մ.</w:t>
      </w:r>
    </w:p>
    <w:p w14:paraId="5D3612F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2) սպասասրահից, սննդի կետից և սանիտարական հանգույցից մինչև` </w:t>
      </w:r>
    </w:p>
    <w:p w14:paraId="7E8244F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ա. ՀԱԳ լցավորման բաշխիչ աշտարակներ` 15 մ,</w:t>
      </w:r>
    </w:p>
    <w:p w14:paraId="669C2718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բ. ՀԱԳ գազամբարներ` 20 մ. </w:t>
      </w:r>
    </w:p>
    <w:p w14:paraId="0F94B7A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ՀԱԳ լցավորման բաշխիչ աշտարակներից և ՀԱԳ գազամբարներից մինչև ավտոտեխսպասարկման շենքեր և ավտոլվացման կետեր` 20 մ.</w:t>
      </w:r>
    </w:p>
    <w:p w14:paraId="57559B9D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ՀԱԳ լցավորման բաշխիչ աշտարակներից մինչև սեղմված բնական գազի և բենզինի լցավորման բաշխիչ աշտարակներ` 4 մ.</w:t>
      </w:r>
    </w:p>
    <w:p w14:paraId="0A3FC71B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սեղմված բնական գազի լցավորման բաշխիչ աշտարակներից մինչև բենզինի լցավորման բաշխիչ աշտարակներ` 8 մ.</w:t>
      </w:r>
    </w:p>
    <w:p w14:paraId="4BC60DF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ՀԱԳ ստորգետնյա գազամբարներից և հեղուկ վառելանյութի ստորգետնյա տարողություններից մինչև ավտոգազալցակայանի կուտակիչներ` 10 մ.</w:t>
      </w:r>
    </w:p>
    <w:p w14:paraId="08123DD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7) ՀԱԳ ստորգետնյա գազամբարների և հեղուկ վառելանյութի ստորգետնյա տարողությունների միջև հեռավորությունը պետք է լինի` </w:t>
      </w:r>
    </w:p>
    <w:p w14:paraId="3EDBC9D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ա. վերգետնյա գազամբարների և վերգետնյա տարողությունների միջև` մոտակա ամենամեծ տարողության տրամագծից ոչ պակաս, բայց առնվազն 2 մ, </w:t>
      </w:r>
    </w:p>
    <w:p w14:paraId="10DAD0F7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բ. ստորգետնյա գազամբարների և ստորգետնյա տարողությունների միջև մոտակա ամենամեծ տարողության տրամագծի կեսից ոչ պակաս, բայց առնվազն 1 մ:» բառերով. </w:t>
      </w:r>
    </w:p>
    <w:p w14:paraId="358F4C61" w14:textId="77777777" w:rsidR="007D36DA" w:rsidRDefault="007D36DA" w:rsidP="007D36DA">
      <w:pPr>
        <w:ind w:left="7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IV*- ՀԱԳ գազամբարներից մինչև գազալցակայանին չպատկանող շենքերն ու շինությունները նորմերով պահանջվող նվազագույն միջտարածությունները պակաս չեն քան.</w:t>
      </w:r>
    </w:p>
    <w:p w14:paraId="5571E50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Վերգետնյա մինչև 20 խմ և ստորգետնյա մինչև 50 խմ տարողությամբ գազամբարների դեպքում</w:t>
      </w:r>
    </w:p>
    <w:p w14:paraId="0D6B20F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2297"/>
        <w:gridCol w:w="705"/>
        <w:gridCol w:w="712"/>
        <w:gridCol w:w="712"/>
        <w:gridCol w:w="705"/>
        <w:gridCol w:w="712"/>
        <w:gridCol w:w="712"/>
        <w:gridCol w:w="1694"/>
      </w:tblGrid>
      <w:tr w:rsidR="007D36DA" w14:paraId="4863FB7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BA5A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D06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կառուցվածքներ և հաղորդակցուղիներ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1D59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Հեռավորությունը գազամբարներից լուսանցով, մ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D71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Հեռավորությունը գոլորշիացման կամ խմբային բալոնային կայանքից լ</w:t>
            </w:r>
            <w:r>
              <w:rPr>
                <w:rFonts w:eastAsia="Times New Roman"/>
                <w:sz w:val="20"/>
                <w:szCs w:val="20"/>
              </w:rPr>
              <w:br/>
              <w:t>ուսանցով, մ</w:t>
            </w:r>
          </w:p>
        </w:tc>
      </w:tr>
      <w:tr w:rsidR="007D36DA" w14:paraId="67E45E0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234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AE5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DCC0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Վերգետնյա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E7E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Ստորգետնյա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862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36DA" w14:paraId="2B610D5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BB1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1099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D4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Կայանքի գազամբարների ընդհանուր տարողության դեպքում, խմ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81D8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36DA" w14:paraId="3AD0E5A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9D23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3763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B89E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Մինչև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4B6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բարձր 5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մինչև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F0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բարձր 10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մինչև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295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Մինչև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CDE4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բարձր 10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մինչև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2F8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բարձր 20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մինչև 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DAF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D36DA" w14:paraId="7620C40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4E0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57A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 և կառուցվածքներ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784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3B5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352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7379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B991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D7C2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816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</w:tr>
      <w:tr w:rsidR="007D36DA" w14:paraId="0524B8A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D0D3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00A1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 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B0E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95B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85F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C31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638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732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EBC9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7D36DA" w14:paraId="789B62B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BE6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3AB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Մանկական և սպորտային հրապարակներ, ավտոտնակներ, (գազամբարային կայանքի ցանկապատից)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126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8060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C1ED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332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CD08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0D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285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7D36DA" w14:paraId="6FB98CB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9B6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F28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շենքեր (արդյունաբերական, գյուղատնտեսական կազմա-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կերպությունների) և արտադրական բնույթի կենցաղային սպասարկման կազմակերպություններ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8BC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EBC7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20E2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F89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C5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D1F3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4422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7D36DA" w14:paraId="1817B88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8CA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33A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Ընդհանուր ցանցի երկաթուղիներ (մինչև լիրքի ստորոտը կամ գազամբարի կողմից փորվածքի եզերքը)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0FE3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0D9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A3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3A4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11C6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B23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9A33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D36DA" w14:paraId="108283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89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A1D7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Արդյունաբերական կազմակերպությունների մերձատար երկաթուղիներ, տրամվայի ուղիներ (մինչև ուղու առանցքը), I-III կարգի ավտոմոբիլային ճանապարհներ (մինչև երթևեկելի մասի եզրը)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9E3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33C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EA6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D803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BC93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4298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663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7D36DA" w14:paraId="13E679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52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02D5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IV կարգի ավտոմոբիլային ճանապարհներ (մինչև երթևեկելի մասի եզրը)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911F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028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108C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A5B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D2F8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63DB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A7B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</w:tbl>
    <w:p w14:paraId="0BDF42E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F15487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Վերգետնյա և ստորգետնյա մինչև 8000 խմ տարողությամբ գազամբարների դեպքում</w:t>
      </w:r>
    </w:p>
    <w:p w14:paraId="3E88F25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031"/>
        <w:gridCol w:w="654"/>
        <w:gridCol w:w="571"/>
        <w:gridCol w:w="609"/>
        <w:gridCol w:w="384"/>
        <w:gridCol w:w="525"/>
        <w:gridCol w:w="609"/>
        <w:gridCol w:w="609"/>
        <w:gridCol w:w="571"/>
        <w:gridCol w:w="571"/>
        <w:gridCol w:w="704"/>
        <w:gridCol w:w="525"/>
        <w:gridCol w:w="571"/>
      </w:tblGrid>
      <w:tr w:rsidR="007D36DA" w14:paraId="03EA117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4CA0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7DFC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Շենքեր, սենքեր և հաղոր-</w:t>
            </w:r>
            <w:r>
              <w:rPr>
                <w:rFonts w:eastAsia="Times New Roman"/>
                <w:sz w:val="15"/>
                <w:szCs w:val="15"/>
              </w:rPr>
              <w:br/>
              <w:t>դակցուղիներ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203E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Լուսանցային հեռավորությունը ՀԱԳ գազամբարներից, մ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CB0DA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Հեռա-</w:t>
            </w:r>
            <w:r>
              <w:rPr>
                <w:rFonts w:eastAsia="Times New Roman"/>
                <w:sz w:val="15"/>
                <w:szCs w:val="15"/>
              </w:rPr>
              <w:br/>
              <w:t>վորու-</w:t>
            </w:r>
            <w:r>
              <w:rPr>
                <w:rFonts w:eastAsia="Times New Roman"/>
                <w:sz w:val="15"/>
                <w:szCs w:val="15"/>
              </w:rPr>
              <w:br/>
              <w:t>թյունը</w:t>
            </w:r>
            <w:r>
              <w:rPr>
                <w:rFonts w:eastAsia="Times New Roman"/>
                <w:sz w:val="15"/>
                <w:szCs w:val="15"/>
              </w:rPr>
              <w:br/>
              <w:t>ՀԱԳ օգտա-</w:t>
            </w:r>
            <w:r>
              <w:rPr>
                <w:rFonts w:eastAsia="Times New Roman"/>
                <w:sz w:val="15"/>
                <w:szCs w:val="15"/>
              </w:rPr>
              <w:br/>
              <w:t>գործող</w:t>
            </w:r>
            <w:r>
              <w:rPr>
                <w:rFonts w:eastAsia="Times New Roman"/>
                <w:sz w:val="15"/>
                <w:szCs w:val="15"/>
              </w:rPr>
              <w:br/>
              <w:t>սեն-</w:t>
            </w:r>
            <w:r>
              <w:rPr>
                <w:rFonts w:eastAsia="Times New Roman"/>
                <w:sz w:val="15"/>
                <w:szCs w:val="15"/>
              </w:rPr>
              <w:br/>
              <w:t>քերից,</w:t>
            </w:r>
            <w:r>
              <w:rPr>
                <w:rFonts w:eastAsia="Times New Roman"/>
                <w:sz w:val="15"/>
                <w:szCs w:val="15"/>
              </w:rPr>
              <w:br/>
              <w:t>կայանք-</w:t>
            </w:r>
            <w:r>
              <w:rPr>
                <w:rFonts w:eastAsia="Times New Roman"/>
                <w:sz w:val="15"/>
                <w:szCs w:val="15"/>
              </w:rPr>
              <w:br/>
            </w:r>
            <w:r>
              <w:rPr>
                <w:rFonts w:eastAsia="Times New Roman"/>
                <w:sz w:val="15"/>
                <w:szCs w:val="15"/>
              </w:rPr>
              <w:lastRenderedPageBreak/>
              <w:t>ներից, մ 50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95F4E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Հեռա-</w:t>
            </w:r>
            <w:r>
              <w:rPr>
                <w:rFonts w:eastAsia="Times New Roman"/>
                <w:sz w:val="15"/>
                <w:szCs w:val="15"/>
              </w:rPr>
              <w:br/>
              <w:t>վորությունը</w:t>
            </w:r>
            <w:r>
              <w:rPr>
                <w:rFonts w:eastAsia="Times New Roman"/>
                <w:sz w:val="15"/>
                <w:szCs w:val="15"/>
              </w:rPr>
              <w:br/>
              <w:t>լիցքա-</w:t>
            </w:r>
            <w:r>
              <w:rPr>
                <w:rFonts w:eastAsia="Times New Roman"/>
                <w:sz w:val="15"/>
                <w:szCs w:val="15"/>
              </w:rPr>
              <w:br/>
              <w:t>վորված</w:t>
            </w:r>
            <w:r>
              <w:rPr>
                <w:rFonts w:eastAsia="Times New Roman"/>
                <w:sz w:val="15"/>
                <w:szCs w:val="15"/>
              </w:rPr>
              <w:br/>
              <w:t>բալոնների</w:t>
            </w:r>
            <w:r>
              <w:rPr>
                <w:rFonts w:eastAsia="Times New Roman"/>
                <w:sz w:val="15"/>
                <w:szCs w:val="15"/>
              </w:rPr>
              <w:br/>
              <w:t>պահեստից</w:t>
            </w:r>
            <w:r>
              <w:rPr>
                <w:rFonts w:eastAsia="Times New Roman"/>
                <w:sz w:val="15"/>
                <w:szCs w:val="15"/>
              </w:rPr>
              <w:br/>
              <w:t>ընդհանուր տարո-</w:t>
            </w:r>
            <w:r>
              <w:rPr>
                <w:rFonts w:eastAsia="Times New Roman"/>
                <w:sz w:val="15"/>
                <w:szCs w:val="15"/>
              </w:rPr>
              <w:br/>
            </w:r>
            <w:r>
              <w:rPr>
                <w:rFonts w:eastAsia="Times New Roman"/>
                <w:sz w:val="15"/>
                <w:szCs w:val="15"/>
              </w:rPr>
              <w:lastRenderedPageBreak/>
              <w:t>ղությամբ,</w:t>
            </w:r>
            <w:r>
              <w:rPr>
                <w:rFonts w:eastAsia="Times New Roman"/>
                <w:sz w:val="15"/>
                <w:szCs w:val="15"/>
              </w:rPr>
              <w:br/>
              <w:t>խմ</w:t>
            </w:r>
          </w:p>
        </w:tc>
      </w:tr>
      <w:tr w:rsidR="007D36DA" w14:paraId="59C73FA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C21A6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B1F8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F810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Վերգետնյա գազամբարներ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61F8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Ստորգետնյա գազամբարներ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4F947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BF448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7D36DA" w14:paraId="1843EF0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2C1AA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C6D3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151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Ընդհանուր տարողության դեպքում, խմ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04CE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DD77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7D36DA" w14:paraId="5F758BB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4CBD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D903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33B6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20 մինչև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B5335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50 մինչև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0234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50 մինչև 500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55896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200 մինչև 8000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44836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50 </w:t>
            </w:r>
            <w:r>
              <w:rPr>
                <w:rFonts w:eastAsia="Times New Roman"/>
                <w:sz w:val="15"/>
                <w:szCs w:val="15"/>
              </w:rPr>
              <w:br/>
              <w:t>մինչև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311A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50 մինչև 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7CA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բարձր 200 մինչև 8000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EE61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8DD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7D36DA" w14:paraId="00CE4F1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DADF1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D4C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F65E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Մեկ գազամբար, առավելագույն տարողությունը, խմ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66F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FE984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7D36DA" w14:paraId="677950E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DBD11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AEB2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0792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պակաս</w:t>
            </w:r>
            <w:r>
              <w:rPr>
                <w:rFonts w:eastAsia="Times New Roman"/>
                <w:sz w:val="15"/>
                <w:szCs w:val="15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E379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6931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6867E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26A2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մեծ 100</w:t>
            </w:r>
            <w:r>
              <w:rPr>
                <w:rFonts w:eastAsia="Times New Roman"/>
                <w:sz w:val="15"/>
                <w:szCs w:val="15"/>
              </w:rPr>
              <w:br/>
              <w:t>մինչև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E9CCE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4761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92515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09675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մեծ 100</w:t>
            </w:r>
            <w:r>
              <w:rPr>
                <w:rFonts w:eastAsia="Times New Roman"/>
                <w:sz w:val="15"/>
                <w:szCs w:val="15"/>
              </w:rPr>
              <w:br/>
              <w:t>մինչև 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DBD8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6E967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մինչև</w:t>
            </w:r>
            <w:r>
              <w:rPr>
                <w:rFonts w:eastAsia="Times New Roman"/>
                <w:sz w:val="15"/>
                <w:szCs w:val="15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D8AE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բարձր</w:t>
            </w:r>
            <w:r>
              <w:rPr>
                <w:rFonts w:eastAsia="Times New Roman"/>
                <w:sz w:val="15"/>
                <w:szCs w:val="15"/>
              </w:rPr>
              <w:br/>
              <w:t>20</w:t>
            </w:r>
          </w:p>
        </w:tc>
      </w:tr>
      <w:tr w:rsidR="007D36DA" w14:paraId="18A9C85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1382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387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Բնակելի, հասարա-</w:t>
            </w:r>
            <w:r>
              <w:rPr>
                <w:rFonts w:eastAsia="Times New Roman"/>
                <w:sz w:val="15"/>
                <w:szCs w:val="15"/>
              </w:rPr>
              <w:br/>
              <w:t>կական, վարչական, կենցաղային, արտա-</w:t>
            </w:r>
            <w:r>
              <w:rPr>
                <w:rFonts w:eastAsia="Times New Roman"/>
                <w:sz w:val="15"/>
                <w:szCs w:val="15"/>
              </w:rPr>
              <w:br/>
              <w:t>դրական շենքեր, ավտո-</w:t>
            </w:r>
            <w:r>
              <w:rPr>
                <w:rFonts w:eastAsia="Times New Roman"/>
                <w:sz w:val="15"/>
                <w:szCs w:val="15"/>
              </w:rPr>
              <w:br/>
              <w:t xml:space="preserve">տնակներ և բաց կանգառներ*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165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70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BB2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  <w:r>
              <w:rPr>
                <w:rFonts w:eastAsia="Times New Roman"/>
                <w:sz w:val="15"/>
                <w:szCs w:val="15"/>
              </w:rPr>
              <w:br/>
              <w:t>/50/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A014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150</w:t>
            </w:r>
            <w:r>
              <w:rPr>
                <w:rFonts w:eastAsia="Times New Roman"/>
                <w:sz w:val="15"/>
                <w:szCs w:val="15"/>
              </w:rPr>
              <w:br/>
              <w:t xml:space="preserve">/100/**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1F6D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165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A95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  <w:r>
              <w:rPr>
                <w:rFonts w:eastAsia="Times New Roman"/>
                <w:sz w:val="15"/>
                <w:szCs w:val="15"/>
              </w:rPr>
              <w:br/>
              <w:t>/25/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CB0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75</w:t>
            </w:r>
            <w:r>
              <w:rPr>
                <w:rFonts w:eastAsia="Times New Roman"/>
                <w:sz w:val="15"/>
                <w:szCs w:val="15"/>
              </w:rPr>
              <w:br/>
              <w:t>/55/**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14DA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8FD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2C73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2ADEE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  <w:r>
              <w:rPr>
                <w:rFonts w:eastAsia="Times New Roman"/>
                <w:sz w:val="15"/>
                <w:szCs w:val="15"/>
              </w:rPr>
              <w:br/>
              <w:t>(20)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7489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</w:t>
            </w:r>
            <w:r>
              <w:rPr>
                <w:rFonts w:eastAsia="Times New Roman"/>
                <w:sz w:val="15"/>
                <w:szCs w:val="15"/>
              </w:rPr>
              <w:br/>
              <w:t>(30)</w:t>
            </w:r>
          </w:p>
        </w:tc>
      </w:tr>
      <w:tr w:rsidR="007D36DA" w14:paraId="7F65BCB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77D82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6BE24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Վերգետնյա կառուց-</w:t>
            </w:r>
            <w:r>
              <w:rPr>
                <w:rFonts w:eastAsia="Times New Roman"/>
                <w:sz w:val="15"/>
                <w:szCs w:val="15"/>
              </w:rPr>
              <w:br/>
              <w:t>վածքներ և հաղոր-</w:t>
            </w:r>
            <w:r>
              <w:rPr>
                <w:rFonts w:eastAsia="Times New Roman"/>
                <w:sz w:val="15"/>
                <w:szCs w:val="15"/>
              </w:rPr>
              <w:br/>
              <w:t>դակցուղիներ (էստա-</w:t>
            </w:r>
            <w:r>
              <w:rPr>
                <w:rFonts w:eastAsia="Times New Roman"/>
                <w:sz w:val="15"/>
                <w:szCs w:val="15"/>
              </w:rPr>
              <w:br/>
              <w:t>կադներ, ջերմա-</w:t>
            </w:r>
            <w:r>
              <w:rPr>
                <w:rFonts w:eastAsia="Times New Roman"/>
                <w:sz w:val="15"/>
                <w:szCs w:val="15"/>
              </w:rPr>
              <w:br/>
              <w:t>տարներ և այլն) բնակելի շենքերի օժանդակ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943B7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BF1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  <w:r>
              <w:rPr>
                <w:rFonts w:eastAsia="Times New Roman"/>
                <w:sz w:val="15"/>
                <w:szCs w:val="15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8A4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E8C4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5D4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325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2AFA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9E81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CAAA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E151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0C4E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EC20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  <w:r>
              <w:rPr>
                <w:rFonts w:eastAsia="Times New Roman"/>
                <w:sz w:val="15"/>
                <w:szCs w:val="15"/>
              </w:rPr>
              <w:br/>
              <w:t>/20/</w:t>
            </w:r>
          </w:p>
        </w:tc>
      </w:tr>
      <w:tr w:rsidR="007D36DA" w14:paraId="2B4426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692B8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AAFD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Ընդհանուր ցանցի երկաթու-</w:t>
            </w:r>
            <w:r>
              <w:rPr>
                <w:rFonts w:eastAsia="Times New Roman"/>
                <w:sz w:val="15"/>
                <w:szCs w:val="15"/>
              </w:rPr>
              <w:br/>
              <w:t>ղիներ (լիրքի ստորոտից), I-III կարգի ավտոմո-</w:t>
            </w:r>
            <w:r>
              <w:rPr>
                <w:rFonts w:eastAsia="Times New Roman"/>
                <w:sz w:val="15"/>
                <w:szCs w:val="15"/>
              </w:rPr>
              <w:br/>
              <w:t>բիլային ճանա-</w:t>
            </w:r>
            <w:r>
              <w:rPr>
                <w:rFonts w:eastAsia="Times New Roman"/>
                <w:sz w:val="15"/>
                <w:szCs w:val="15"/>
              </w:rPr>
              <w:br/>
              <w:t>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74F0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86D5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6AD4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0B8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20818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D24F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0AE16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75***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7A5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8B790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015A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BC537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C1FF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</w:tr>
      <w:tr w:rsidR="007D36DA" w14:paraId="13ADC73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8FEE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745B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Մերձատար երկաթու-</w:t>
            </w:r>
            <w:r>
              <w:rPr>
                <w:rFonts w:eastAsia="Times New Roman"/>
                <w:sz w:val="15"/>
                <w:szCs w:val="15"/>
              </w:rPr>
              <w:br/>
              <w:t>ղիներ, կազմա-</w:t>
            </w:r>
            <w:r>
              <w:rPr>
                <w:rFonts w:eastAsia="Times New Roman"/>
                <w:sz w:val="15"/>
                <w:szCs w:val="15"/>
              </w:rPr>
              <w:br/>
              <w:t>կերպութ-</w:t>
            </w:r>
            <w:r>
              <w:rPr>
                <w:rFonts w:eastAsia="Times New Roman"/>
                <w:sz w:val="15"/>
                <w:szCs w:val="15"/>
              </w:rPr>
              <w:br/>
              <w:t>յունների ճանա-</w:t>
            </w:r>
            <w:r>
              <w:rPr>
                <w:rFonts w:eastAsia="Times New Roman"/>
                <w:sz w:val="15"/>
                <w:szCs w:val="15"/>
              </w:rPr>
              <w:br/>
              <w:t>պարհներ, տրամվայի ուղիներ I կարգի ավտոմո-</w:t>
            </w:r>
            <w:r>
              <w:rPr>
                <w:rFonts w:eastAsia="Times New Roman"/>
                <w:sz w:val="15"/>
                <w:szCs w:val="15"/>
              </w:rPr>
              <w:br/>
              <w:t>բիլային ճանա-</w:t>
            </w:r>
            <w:r>
              <w:rPr>
                <w:rFonts w:eastAsia="Times New Roman"/>
                <w:sz w:val="15"/>
                <w:szCs w:val="15"/>
              </w:rPr>
              <w:br/>
              <w:t>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9C66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  <w:r>
              <w:rPr>
                <w:rFonts w:eastAsia="Times New Roman"/>
                <w:sz w:val="15"/>
                <w:szCs w:val="15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EFF3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30***</w:t>
            </w:r>
            <w:r>
              <w:rPr>
                <w:rFonts w:eastAsia="Times New Roman"/>
                <w:sz w:val="15"/>
                <w:szCs w:val="15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057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40***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7DB26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F40DB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  <w:r>
              <w:rPr>
                <w:rFonts w:eastAsia="Times New Roman"/>
                <w:sz w:val="15"/>
                <w:szCs w:val="15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7FBA8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20***</w:t>
            </w:r>
            <w:r>
              <w:rPr>
                <w:rFonts w:eastAsia="Times New Roman"/>
                <w:sz w:val="15"/>
                <w:szCs w:val="15"/>
              </w:rPr>
              <w:br/>
              <w:t>/15/***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E3DAA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25***</w:t>
            </w:r>
            <w:r>
              <w:rPr>
                <w:rFonts w:eastAsia="Times New Roman"/>
                <w:sz w:val="15"/>
                <w:szCs w:val="15"/>
              </w:rPr>
              <w:br/>
              <w:t>/15/***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703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E809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  <w:r>
              <w:rPr>
                <w:rFonts w:eastAsia="Times New Roman"/>
                <w:sz w:val="15"/>
                <w:szCs w:val="15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8160C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28123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  <w:r>
              <w:rPr>
                <w:rFonts w:eastAsia="Times New Roman"/>
                <w:sz w:val="15"/>
                <w:szCs w:val="15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23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  <w:r>
              <w:rPr>
                <w:rFonts w:eastAsia="Times New Roman"/>
                <w:sz w:val="15"/>
                <w:szCs w:val="15"/>
              </w:rPr>
              <w:br/>
              <w:t>/20/</w:t>
            </w:r>
          </w:p>
        </w:tc>
      </w:tr>
      <w:tr w:rsidR="007D36DA" w14:paraId="69298F93" w14:textId="77777777" w:rsidTr="001F4BB3">
        <w:trPr>
          <w:tblCellSpacing w:w="0" w:type="dxa"/>
        </w:trPr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2809" w14:textId="77777777" w:rsidR="007D36DA" w:rsidRDefault="007D36DA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* Հեռավորությունը բնակելի և հասարակական շենքերից հարկավոր է ընդունել ինքնուրույն հարթակի վրա տեղադրված ՀԱԳ և այլ օբյեկտների համար` նշվածից ոչ պակաս, իսկ վարչական, կենցաղային, արտադրական շենքերից, կաթսայատներից, ավտոտնակներից - ըստ փակագծերում բերված տվյալների:</w:t>
            </w:r>
            <w:r>
              <w:rPr>
                <w:rFonts w:eastAsia="Times New Roman"/>
                <w:sz w:val="15"/>
                <w:szCs w:val="15"/>
              </w:rPr>
              <w:br/>
              <w:t>** Թույլատրվում է մինչև 200 խմ ընդհանուր տարողությամբ ԳԼԿ գազամբարից հեռավորությունը կրճատել մինչև 70 մ` վերգետնյա կատարման դեպքում, ստորգետնյա` մինչև 35 մ, իսկ մինչև 300 խմ տարողության դեպքում - համապատասխանաբար 90 և 45 մ:</w:t>
            </w:r>
            <w:r>
              <w:rPr>
                <w:rFonts w:eastAsia="Times New Roman"/>
                <w:sz w:val="15"/>
                <w:szCs w:val="15"/>
              </w:rPr>
              <w:br/>
              <w:t xml:space="preserve">*** Թույլատրվում է երկաթգծերից և ավտոմոբիլային ճանապարհներից (տող 3) հեռավորությունը մինչև 200 խմ ընդհանուր տարողությամբ, վերգետնյա ՀԱԳ գազամբարները կրճատել մինչև 75 մ, ստորգետնյա գազամբարները` մինչև 50 մ: Հեռավորությունը կազմակերպության տարածքից դուրս անցնող մերձատար, տրամվայի ուղիներից և այլն (տող 4) մինչև ոչ ավել 100 խմ ընդհանուր տարողությամբ ՀԱԳ գազամբարները թույլատրվում է կրճատել` վերգետնյա կատարման դեպքում մինչև 20 մ և ստորգետնյա կատարման` մինչև 15 մ, իսկ ուղիների և ճանապարհների կազմակերպությունների տարածքներով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անցման դեպքում (կետ 6) այդ հեռավորությունները կրճատվում են մինչև 10 մ գազամբարների ստորգետնյա կատարման դեպքում:</w:t>
            </w:r>
            <w:r>
              <w:rPr>
                <w:rFonts w:eastAsia="Times New Roman"/>
                <w:sz w:val="15"/>
                <w:szCs w:val="15"/>
              </w:rPr>
              <w:br/>
              <w:t>1. Փակագծերում նշված հեռավորությունները տրված են արդյունաբերական կազմակերպությունների տարածքում տեղավորված ՀԱԳ գազամբարների և լիցքավորված բալոնների պահեստների համար:</w:t>
            </w:r>
            <w:r>
              <w:rPr>
                <w:rFonts w:eastAsia="Times New Roman"/>
                <w:sz w:val="15"/>
                <w:szCs w:val="15"/>
              </w:rPr>
              <w:br/>
              <w:t>2. Լիցքավորված բալոնների պահեստից մինչև արդյունաբերական և գյուղատնտեսական կազմակերպությունների շենքերը, ինչպես նաև արտադրական բնույթի կենցաղային սպասարկման կազմակերպությունները հարկավոր է ընդունել ըստ փակագծերում բերված տվյալների:</w:t>
            </w:r>
            <w:r>
              <w:rPr>
                <w:rFonts w:eastAsia="Times New Roman"/>
                <w:sz w:val="15"/>
                <w:szCs w:val="15"/>
              </w:rPr>
              <w:br/>
              <w:t>3. Յուրաքանչյուրը 50 խմ միավոր տարողությամբ երկու գազամբարների տեղադրման դեպքում հեռավորությունը մինչև ԳԼԿ չվերաբերող շենքերը (բնակելի, հասարակական, արտադրական և այլն) թույլատրվում է կրճատել` վերգետնյա գազամբարների համար մինչև 100 մ, ստորգետնյաների համար` մինչև 50 մ:</w:t>
            </w:r>
            <w:r>
              <w:rPr>
                <w:rFonts w:eastAsia="Times New Roman"/>
                <w:sz w:val="15"/>
                <w:szCs w:val="15"/>
              </w:rPr>
              <w:br/>
              <w:t>4. Հեռավորությունը գազամբարներից մինչև այն տեղերը, որտեղ միաժամանակ կարող են 800 մարդուց ավել գտնվել (մարզադաշտեր, շուկաներ, զբոսայգիներ, բնակելի տներ և այլն), ինչպես նաև մինչև դպրոցական և նախադպրոցական, սանատոր-բուժման կազմակերպությունները հարկավոր է ավելացնել 2 անգամ:</w:t>
            </w:r>
            <w:r>
              <w:rPr>
                <w:rFonts w:eastAsia="Times New Roman"/>
                <w:sz w:val="15"/>
                <w:szCs w:val="15"/>
              </w:rPr>
              <w:br/>
              <w:t>5. ԳԼԿ վառելիքալիցքավորման կետից նվազագույն հեռավորությունը անհրաժեշտ է ընդունել ըստ հրդեհային անվտանգության կանոնների:</w:t>
            </w:r>
          </w:p>
        </w:tc>
      </w:tr>
    </w:tbl>
    <w:p w14:paraId="7A75DDFB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14:paraId="16D1CF6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V*- ՀԱԳ լցակայանի տարածքում իրեն պատկանող շենքերի, շինությունների և սարքավորումների միջև միջտարածությունները պակաս չեն քան.</w:t>
      </w:r>
    </w:p>
    <w:p w14:paraId="0A0DBD58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Ստորգետնյա գազամբարները լցավորման սյունակներից - 20 մետրից:</w:t>
      </w:r>
    </w:p>
    <w:p w14:paraId="4C258B2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Վերգետնյա գազամբարները լցավորման սյունակներից - 30 մետրից:</w:t>
      </w:r>
    </w:p>
    <w:p w14:paraId="5758E54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Լցավորման սյունակները ավտոմոբիլային ճանապարհներից - 10 մետրից:</w:t>
      </w:r>
    </w:p>
    <w:p w14:paraId="0860F43E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Օպերատորական շինությունը գազալցակայանների տեխնոլոգիական սարքավորումներից - 9 մետրից:</w:t>
      </w:r>
    </w:p>
    <w:p w14:paraId="0A86B66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Սպասարահից (սննդի կետ) մինչև`</w:t>
      </w:r>
    </w:p>
    <w:p w14:paraId="6D0F887E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ՀԱԳ լցավորման սյունակները - 15 մետրից,</w:t>
      </w:r>
      <w:r>
        <w:rPr>
          <w:sz w:val="20"/>
          <w:szCs w:val="20"/>
        </w:rPr>
        <w:br/>
        <w:t> ՀԱԳ գազամբարները - 20 մետրից:</w:t>
      </w:r>
      <w:r>
        <w:rPr>
          <w:sz w:val="20"/>
          <w:szCs w:val="20"/>
        </w:rPr>
        <w:br/>
        <w:t>զ) ՀԱԳ լցավորման սյունակները սեղմված բնական գազի և բենզինի լցավորման սյունակներից - 4 մետրից:</w:t>
      </w:r>
    </w:p>
    <w:p w14:paraId="07F4412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է) Սեղմված բնական գազի լցավորման սյունակները բենզինի լցավորման սյունակներից - 8 մետրից:</w:t>
      </w:r>
    </w:p>
    <w:p w14:paraId="40739CD4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E5444F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VI*- Շինությունների պայթյունահրդեհավտանգավորության կարգը.</w:t>
      </w:r>
    </w:p>
    <w:p w14:paraId="71E56F7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492"/>
        <w:gridCol w:w="4610"/>
      </w:tblGrid>
      <w:tr w:rsidR="007D36DA" w14:paraId="293643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1547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0A0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6D21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7D36DA" w14:paraId="5DB7505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89BD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F383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պայթյունա-</w:t>
            </w:r>
            <w:r>
              <w:rPr>
                <w:rFonts w:eastAsia="Times New Roman"/>
                <w:sz w:val="20"/>
                <w:szCs w:val="20"/>
              </w:rPr>
              <w:br/>
              <w:t>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B3BF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գազեր, դյուրավառ հեղուկներ` այն քանակությամբ, որ կարող են ստեղծել պայթյունավտանգ օդագազագոլորշային 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7D36DA" w14:paraId="2F09CBD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C20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A298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պայթյունա-</w:t>
            </w:r>
            <w:r>
              <w:rPr>
                <w:rFonts w:eastAsia="Times New Roman"/>
                <w:sz w:val="20"/>
                <w:szCs w:val="20"/>
              </w:rPr>
              <w:br/>
              <w:t>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3FF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7D36DA" w14:paraId="56DAA0C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591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C9A9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3D83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թթվածնի կամ միմյանց հետփոխազդելիս, պայմանով, որ այն շինությունները, որտեղ դրանք առկա են չեն պատկանում «Ա» կամ «Բ» կարգերին: </w:t>
            </w:r>
          </w:p>
        </w:tc>
      </w:tr>
      <w:tr w:rsidR="007D36DA" w14:paraId="65DF58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5DFB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FE0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2E88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7D36DA" w14:paraId="66DD45F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634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156A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6704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51D1816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D5E052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VII*- Հրդեհի ազդանշանման ինքնաշխատ համակարգերով օբյեկտների համալրման չափանիշներն են.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0"/>
        <w:gridCol w:w="955"/>
        <w:gridCol w:w="1436"/>
      </w:tblGrid>
      <w:tr w:rsidR="007D36DA" w14:paraId="758B114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FC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A7D0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7D36DA" w14:paraId="68B0689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23F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538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3805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7D36DA" w14:paraId="1C210F7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7B6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505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7D36DA" w14:paraId="5F6890C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B3DB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Ավտոլցավորման կայաններ (այդ թվում նաև բեռնարկղային տիպի), ինչպես նաև դրանց կազմում գտնվող խանութներ, կրպակներ և տաղավարներ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8E7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638A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4986CCA1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3650804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VIII*- Շենքերը և շինությունները ձեռքի կրակմարիչներով ապահովելու չափանիշները ներկայացված են ստորև ներկայացված աղյուսակներում.</w:t>
      </w:r>
    </w:p>
    <w:p w14:paraId="65F15EE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080"/>
        <w:gridCol w:w="790"/>
        <w:gridCol w:w="1500"/>
        <w:gridCol w:w="428"/>
        <w:gridCol w:w="561"/>
        <w:gridCol w:w="561"/>
        <w:gridCol w:w="983"/>
        <w:gridCol w:w="443"/>
        <w:gridCol w:w="590"/>
      </w:tblGrid>
      <w:tr w:rsidR="007D36DA" w14:paraId="0EF0874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217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748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6A5D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6458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582D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3A3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կրակմարիչներ 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A13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0CFC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7D36DA" w14:paraId="130D195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24AD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0B3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42E4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FFF7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F99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CAD0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72A8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76B6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08A5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02B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E3CB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7D36DA" w14:paraId="5C5B6E9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11F8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355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34EF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A0AC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BC64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2CA7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13C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752A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867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56D1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718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32087B1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286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713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AE8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B0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7A2B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B222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9DE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C91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D6C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EF6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9BA2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269420D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B98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B65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4536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0F69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5DC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710A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B8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EFAA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2C19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8BCE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3D30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28A4218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BBC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F1A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1D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CFE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8289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A6F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31CE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A4D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57F9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48C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1B9D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28F9374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6A5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94F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061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39C1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6E76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75EB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94A4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4522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158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C2D3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A9F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7D36DA" w14:paraId="012D9B4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AC65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78A6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CEC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E8E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CC8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F12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5A79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CCD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EEE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C61B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FC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7D36DA" w14:paraId="1BA4C99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A71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AEF3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83DE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1C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FBA0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8EB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2FC9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EFB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65A2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CA09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9C3A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338AAD8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6AED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DAFF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66D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D99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4581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48F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41D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558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4C1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15D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291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7D36DA" w14:paraId="076ADF2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A00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955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CD5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C733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05A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A6B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3D29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BA2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98AB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585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4E53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6DAE465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EAE8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A846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72E7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DDE5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7DDB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7A9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F86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66EF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AD4F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D1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CBE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6BC73D3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673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ECE9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C74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2E19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1BA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B00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D8E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D4C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E5B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1D8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9B16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1E7B3B0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54D4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2DAB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E49C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EA2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66B6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2B3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DC88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3395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84F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8C0C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8BCA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0CBB314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3360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CB23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A63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ADCC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4877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FEB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45D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37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F6C8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BF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CE14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7D36DA" w14:paraId="0F3306B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DDAB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B7BB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C76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D31D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D89A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78E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6B2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F897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9E8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47F0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40C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7D36DA" w14:paraId="633C8F0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4F20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805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A1B6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9C0B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04C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8125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4A1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0C5B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CC6F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6C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695C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25476E3D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05CCF3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4386152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9E7089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աղյուսակում`</w:t>
      </w:r>
    </w:p>
    <w:p w14:paraId="7F402C0A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BE6708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327785F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E5A506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59CB882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1500"/>
        <w:gridCol w:w="983"/>
        <w:gridCol w:w="517"/>
        <w:gridCol w:w="517"/>
      </w:tblGrid>
      <w:tr w:rsidR="007D36DA" w14:paraId="5A2F2205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379B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04B4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3A8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407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2B6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B08E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08B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3F58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7D36DA" w14:paraId="32EF30D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8FB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1979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F9D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B642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D45D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381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C4E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B5D1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CB0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7D36DA" w14:paraId="64D838C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29B6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F8CD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DB3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88EE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FA13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9EB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D7CE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095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8E8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5C88FC8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BC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40AB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4E4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6D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E270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2C9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456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5178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460F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2F4A2E4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EF1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A2A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29C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F7ED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2369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AD4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72FD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134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4FC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083C496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69E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0C1E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B29E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A09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BB1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E093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9B3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F707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A013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28EA366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8F2C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6CA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A97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F65A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F54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0A78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857E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16C5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537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02D2C47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DBE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DA6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D5EB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35E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C755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D6A4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CF5F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5F5C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1CDD8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7A6F21F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D44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3FAEA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DB50E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AFF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6039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DEC0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F4C7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5F7A1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9B98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1E0EB40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19B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F1A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20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F906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564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A4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135D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B3979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8B8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5D2FA62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656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5AC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C9AD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D8D5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4FF67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6EB5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F33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D00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A67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D36DA" w14:paraId="228EDE1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6033C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6B8D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DD1BF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4445B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4B32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4ABD5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EF16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0D743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0EFD" w14:textId="77777777" w:rsidR="007D36DA" w:rsidRDefault="007D36DA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5DEB24EB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0F4424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559FA81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69011FD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6B2FB45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2025D4F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66777C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Սույն աղյուսակում.</w:t>
      </w:r>
    </w:p>
    <w:p w14:paraId="2A6AA65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87B64E4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10DA552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3014FE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461F947" w14:textId="77777777" w:rsidR="007D36DA" w:rsidRDefault="007D36DA" w:rsidP="007D36DA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ԳԱԶԱԼՑԱՎՈՐՄԱՆ ԿԱՅԱՆՆԵՐԻ ՍՏՈՒԳԱԹԵՐԹԻ</w:t>
      </w:r>
    </w:p>
    <w:p w14:paraId="3DA4D569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79BF4F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351156B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753859C2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0DD858EC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պայթյունահրդեհավտանգ` ջրի, օդի, թթվածնի կամ միմյանց հետ շփվելիս պայթելու և այրվելու ունակ նյութեր:</w:t>
      </w:r>
    </w:p>
    <w:p w14:paraId="3FD8098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պայթյունավտանգ` պայթյունի վտանգ առաջացնելու, առանց օդի, թթվածնի մասնակցության պայթյունի ունակություն:</w:t>
      </w:r>
    </w:p>
    <w:p w14:paraId="5DF1ADC5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համար:</w:t>
      </w:r>
    </w:p>
    <w:p w14:paraId="1BA44DD6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համար:</w:t>
      </w:r>
    </w:p>
    <w:p w14:paraId="094ADA78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համար:</w:t>
      </w:r>
    </w:p>
    <w:p w14:paraId="17ABEB4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նախարարություն:</w:t>
      </w:r>
    </w:p>
    <w:p w14:paraId="396D2FA0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օբյեկտի ղեկավար` պետական կառավարման և տեղական ինքնակառավարման մարմինների ղեկավարներ, պետական ոչ առևտրային կազմակերպությունների, պետական հիմնարկների և հարյուր տոկոս պետական մասնակցությամբ իրավաբանական անձանց ղեկավարներ, առևտրային կազմակերպությունների սեփականատերեր, հասարակական և բարեգործական կազմակերպությունների հիմնադիրներ, ֆիզիկական անձ.</w:t>
      </w:r>
    </w:p>
    <w:p w14:paraId="2CC8CF23" w14:textId="77777777" w:rsidR="007D36DA" w:rsidRDefault="007D36DA" w:rsidP="007D36DA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հրդեհաշիջման սկզբնական միջոցներ` կրակմարիչներ, արկղ ավազով, դույլ, բահ, կեռաձող, կացին:</w:t>
      </w:r>
    </w:p>
    <w:p w14:paraId="2EBF4C88" w14:textId="77777777" w:rsidR="007D36DA" w:rsidRDefault="007D36DA" w:rsidP="007D36DA">
      <w:pPr>
        <w:pStyle w:val="comm"/>
        <w:rPr>
          <w:sz w:val="15"/>
          <w:szCs w:val="15"/>
        </w:rPr>
      </w:pPr>
      <w:r>
        <w:rPr>
          <w:sz w:val="15"/>
          <w:szCs w:val="15"/>
        </w:rPr>
        <w:t>(16-րդ հավելվածը լրաց. 12.09.19 թիվ 1244-Ն, փոփ. 04.08.22 թիվ 1218-Ն, 18.01.24 թիվ 88-Ն որոշումներ)</w:t>
      </w:r>
    </w:p>
    <w:p w14:paraId="7BE36B66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DA"/>
    <w:rsid w:val="00305BE4"/>
    <w:rsid w:val="006E785E"/>
    <w:rsid w:val="007D36DA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CD7B"/>
  <w15:chartTrackingRefBased/>
  <w15:docId w15:val="{4CDD0824-932F-413C-892B-4FA9BD9F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DA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7D36DA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7D36DA"/>
    <w:pPr>
      <w:ind w:firstLine="450"/>
      <w:jc w:val="both"/>
    </w:pPr>
  </w:style>
  <w:style w:type="paragraph" w:customStyle="1" w:styleId="bc0h">
    <w:name w:val="bc0h"/>
    <w:basedOn w:val="Normal"/>
    <w:rsid w:val="007D36DA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7D36DA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7D36DA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7D36DA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7D36DA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7D36DA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7D36DA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7D36DA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7D36DA"/>
    <w:pPr>
      <w:ind w:left="450"/>
    </w:pPr>
  </w:style>
  <w:style w:type="paragraph" w:customStyle="1" w:styleId="bc7h">
    <w:name w:val="bc7h"/>
    <w:basedOn w:val="Normal"/>
    <w:rsid w:val="007D36DA"/>
    <w:pPr>
      <w:ind w:left="450"/>
    </w:pPr>
  </w:style>
  <w:style w:type="paragraph" w:customStyle="1" w:styleId="vht">
    <w:name w:val="vht"/>
    <w:basedOn w:val="Normal"/>
    <w:rsid w:val="007D36DA"/>
    <w:pPr>
      <w:ind w:left="450"/>
    </w:pPr>
  </w:style>
  <w:style w:type="paragraph" w:customStyle="1" w:styleId="comm">
    <w:name w:val="comm"/>
    <w:basedOn w:val="Normal"/>
    <w:rsid w:val="007D36DA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7D36DA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7D36DA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7D36DA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7D36DA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36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6DA"/>
    <w:rPr>
      <w:color w:val="800080"/>
      <w:u w:val="single"/>
    </w:rPr>
  </w:style>
  <w:style w:type="paragraph" w:customStyle="1" w:styleId="dateinterval">
    <w:name w:val="dateinterval"/>
    <w:basedOn w:val="Normal"/>
    <w:rsid w:val="007D36DA"/>
    <w:pPr>
      <w:ind w:firstLine="450"/>
      <w:jc w:val="both"/>
    </w:pPr>
  </w:style>
  <w:style w:type="paragraph" w:customStyle="1" w:styleId="maxindex">
    <w:name w:val="maxindex"/>
    <w:basedOn w:val="Normal"/>
    <w:rsid w:val="007D36DA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3691</Words>
  <Characters>21041</Characters>
  <Application>Microsoft Office Word</Application>
  <DocSecurity>0</DocSecurity>
  <Lines>175</Lines>
  <Paragraphs>49</Paragraphs>
  <ScaleCrop>false</ScaleCrop>
  <Company/>
  <LinksUpToDate>false</LinksUpToDate>
  <CharactersWithSpaces>24683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2024-06-11T06:58:00Z</dcterms:created>
  <dcterms:modified xsi:type="dcterms:W3CDTF">2024-06-11T06:58:00Z</dcterms:modified>
</cp:coreProperties>
</file>